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CF" w:rsidRPr="00362604" w:rsidRDefault="00104ECF" w:rsidP="00104ECF">
      <w:pPr>
        <w:jc w:val="both"/>
      </w:pPr>
      <w:r w:rsidRPr="00362604">
        <w:t xml:space="preserve">Система образования </w:t>
      </w:r>
      <w:proofErr w:type="spellStart"/>
      <w:r w:rsidRPr="00362604">
        <w:t>Заринского</w:t>
      </w:r>
      <w:proofErr w:type="spellEnd"/>
      <w:r w:rsidRPr="00362604">
        <w:t xml:space="preserve"> района на конец 201</w:t>
      </w:r>
      <w:r>
        <w:t>5</w:t>
      </w:r>
      <w:r w:rsidRPr="00362604">
        <w:t xml:space="preserve"> - 201</w:t>
      </w:r>
      <w:r>
        <w:t>6</w:t>
      </w:r>
      <w:r w:rsidRPr="00362604">
        <w:t xml:space="preserve"> учебного года включала 35 образовательных организаций. Из них:10 детских садов, 23 школы и две организации дополнительного образования. Общее количество воспитанников и обучающихся на конец учебного года составило 2104 человека.</w:t>
      </w:r>
    </w:p>
    <w:p w:rsidR="00104ECF" w:rsidRPr="00362604" w:rsidRDefault="00104ECF" w:rsidP="00104ECF">
      <w:pPr>
        <w:jc w:val="both"/>
      </w:pPr>
      <w:r w:rsidRPr="00362604">
        <w:t xml:space="preserve">     В 201</w:t>
      </w:r>
      <w:r>
        <w:t>5-2016</w:t>
      </w:r>
      <w:r w:rsidRPr="00362604">
        <w:t xml:space="preserve"> учебном году в районе действовали </w:t>
      </w:r>
      <w:proofErr w:type="gramStart"/>
      <w:r w:rsidRPr="00362604">
        <w:t>10  детских</w:t>
      </w:r>
      <w:proofErr w:type="gramEnd"/>
      <w:r w:rsidRPr="00362604">
        <w:t xml:space="preserve"> садов, в которых организована работа 16 разновозрастных групп и 17 групп  кратковременного пребывания.  Услугами дошкольного образования охвачен 445 детей. Процент охвата услугами дошкольного образования составляет 53 %. </w:t>
      </w:r>
    </w:p>
    <w:p w:rsidR="00104ECF" w:rsidRPr="00362604" w:rsidRDefault="00104ECF" w:rsidP="00104ECF">
      <w:pPr>
        <w:jc w:val="both"/>
      </w:pPr>
      <w:r w:rsidRPr="00362604">
        <w:t xml:space="preserve">     </w:t>
      </w:r>
      <w:r w:rsidRPr="00362604">
        <w:tab/>
        <w:t xml:space="preserve">Позиционирование системы дошкольного образования как одной из «национальных точек роста» невозможно без целенаправленной кадровой политики. В детских садах района в настоящее </w:t>
      </w:r>
      <w:proofErr w:type="gramStart"/>
      <w:r w:rsidRPr="00362604">
        <w:t>время  работают</w:t>
      </w:r>
      <w:proofErr w:type="gramEnd"/>
      <w:r w:rsidRPr="00362604">
        <w:t xml:space="preserve">  29 педагогических работника,  из них только 4 имеют  высшее образование (13%). Уровень квалификации педагогических работников дошкольных организаций выглядит </w:t>
      </w:r>
      <w:proofErr w:type="gramStart"/>
      <w:r w:rsidRPr="00362604">
        <w:t>следующим  образом</w:t>
      </w:r>
      <w:proofErr w:type="gramEnd"/>
      <w:r w:rsidRPr="00362604">
        <w:t xml:space="preserve">: первую квалификационную категорию имеют 10 педагогов 34 %,  не аттестовано -18 человек, т.е. 62 %. В этом направлении нам предстоит серьезно поработать. </w:t>
      </w:r>
    </w:p>
    <w:p w:rsidR="00104ECF" w:rsidRPr="00362604" w:rsidRDefault="00104ECF" w:rsidP="00104ECF">
      <w:pPr>
        <w:jc w:val="both"/>
      </w:pPr>
      <w:r w:rsidRPr="00362604">
        <w:t xml:space="preserve">     За первое полугодие 2014 года средняя наполняемость составила 209 детей при плане 315.</w:t>
      </w:r>
    </w:p>
    <w:p w:rsidR="00104ECF" w:rsidRPr="00362604" w:rsidRDefault="00104ECF" w:rsidP="00104ECF">
      <w:pPr>
        <w:jc w:val="both"/>
      </w:pPr>
    </w:p>
    <w:p w:rsidR="00104ECF" w:rsidRPr="00362604" w:rsidRDefault="00104ECF" w:rsidP="00104ECF">
      <w:pPr>
        <w:jc w:val="both"/>
      </w:pPr>
      <w:r w:rsidRPr="00362604">
        <w:t xml:space="preserve">       В 201</w:t>
      </w:r>
      <w:r>
        <w:t>5 - 2016</w:t>
      </w:r>
      <w:r w:rsidRPr="00362604">
        <w:t xml:space="preserve"> учебном году в Заринском районе функционировало 17средних, 5 основных и одна начальная школы. 100 % школ являются малокомплектными. Всего наконец учебного года в них обучалось 1789 учащихся, что на 23 ребенка меньше, чем на начало года.  При этом, численность учащихся по программам общего образования в расчете на 1 учителя составила 6,8%. Средняя наполняемость в классе составила 8,2 % ученика. Это один из самых низких показателей в крае. Чтобы изменить ситуацию нам необходимо в комплексе решить целый ряд проблем, связанных, в первую очередь, со снижением неэффективных расходов.</w:t>
      </w:r>
    </w:p>
    <w:p w:rsidR="00104ECF" w:rsidRDefault="00104ECF" w:rsidP="00104ECF">
      <w:pPr>
        <w:ind w:firstLine="708"/>
        <w:jc w:val="both"/>
      </w:pPr>
      <w:r w:rsidRPr="00362604">
        <w:t>Повышается уровень информатизации системы образования района. За последние три года из бюджетов всех уровней на информатизацию образования было направлено более 8 млн. 519 тыс. руб. (из них – 2 млн. 640 тыс. руб. – это услуги Интернета), из них за 201</w:t>
      </w:r>
      <w:r>
        <w:t>5 и первое полугодие 2016</w:t>
      </w:r>
      <w:r w:rsidRPr="00362604">
        <w:t xml:space="preserve"> года более 1 млн. 984 тыс. </w:t>
      </w:r>
      <w:proofErr w:type="spellStart"/>
      <w:r w:rsidRPr="00362604">
        <w:t>руб</w:t>
      </w:r>
      <w:proofErr w:type="spellEnd"/>
      <w:r w:rsidRPr="00362604">
        <w:t>, (из них – 1 млн. 52 тыс. рублей услуги Интернета)</w:t>
      </w:r>
    </w:p>
    <w:p w:rsidR="00104ECF" w:rsidRDefault="00104ECF" w:rsidP="00104ECF">
      <w:pPr>
        <w:jc w:val="both"/>
        <w:rPr>
          <w:bCs/>
        </w:rPr>
      </w:pPr>
      <w:r w:rsidRPr="00362604">
        <w:t xml:space="preserve"> </w:t>
      </w:r>
      <w:r w:rsidRPr="00362604">
        <w:rPr>
          <w:bCs/>
        </w:rPr>
        <w:t>В 201</w:t>
      </w:r>
      <w:r>
        <w:rPr>
          <w:bCs/>
        </w:rPr>
        <w:t>5</w:t>
      </w:r>
      <w:r w:rsidRPr="00362604">
        <w:rPr>
          <w:bCs/>
        </w:rPr>
        <w:t xml:space="preserve"> году школы получили 48 комплектов компьютерной техники для оборудования автоматизированного рабочего места учителя на сумму более    2 млн. 614 тысяч рублей.</w:t>
      </w:r>
    </w:p>
    <w:p w:rsidR="00104ECF" w:rsidRPr="00362604" w:rsidRDefault="00104ECF" w:rsidP="00104ECF">
      <w:pPr>
        <w:jc w:val="both"/>
      </w:pPr>
      <w:r>
        <w:t xml:space="preserve">       </w:t>
      </w:r>
      <w:r w:rsidRPr="00362604">
        <w:t xml:space="preserve"> В рамках Федеральной программы "Доступная среда" в этом году две средние школы, </w:t>
      </w:r>
      <w:proofErr w:type="spellStart"/>
      <w:r w:rsidRPr="00362604">
        <w:t>Новомоношкинская</w:t>
      </w:r>
      <w:proofErr w:type="spellEnd"/>
      <w:r w:rsidRPr="00362604">
        <w:t xml:space="preserve"> и </w:t>
      </w:r>
      <w:proofErr w:type="spellStart"/>
      <w:r w:rsidRPr="00362604">
        <w:t>Жуланихинская</w:t>
      </w:r>
      <w:proofErr w:type="spellEnd"/>
      <w:r w:rsidRPr="00362604">
        <w:t>, стали её участниками.  На эти цели на изменение архитектурной среды и приобретение оборудования были выделены федеральные средства в размере более 2 миллионов рублей и в объеме 900 тысяч из средств муниципального бюджета.</w:t>
      </w:r>
    </w:p>
    <w:p w:rsidR="00104ECF" w:rsidRDefault="00104ECF" w:rsidP="00104ECF">
      <w:pPr>
        <w:jc w:val="both"/>
      </w:pPr>
      <w:r w:rsidRPr="00362604">
        <w:t xml:space="preserve">       В </w:t>
      </w:r>
      <w:proofErr w:type="spellStart"/>
      <w:r w:rsidRPr="00362604">
        <w:t>Новомоношкинской</w:t>
      </w:r>
      <w:proofErr w:type="spellEnd"/>
      <w:r w:rsidRPr="00362604">
        <w:t xml:space="preserve"> средней школе в этом году за счет средств государственной программы Алтайского края "Развитие образования и молодежной политики в Алтайском крае на 2014 - 2020 годы" и муниципальной программы "Развитие образования в Заринском районе" на 2014 - 2016 годы была отремонтирована крыша. Общие расходы составили около 5 миллионов рублей.</w:t>
      </w:r>
    </w:p>
    <w:p w:rsidR="00104ECF" w:rsidRPr="00362604" w:rsidRDefault="00104ECF" w:rsidP="00104ECF">
      <w:pPr>
        <w:jc w:val="both"/>
      </w:pPr>
      <w:r>
        <w:t xml:space="preserve">       </w:t>
      </w:r>
      <w:r w:rsidRPr="00362604">
        <w:t xml:space="preserve">Доля обучающихся муниципальных общеобразовательных организаций, которым предоставлена возможность обучаться в современных условиях, составляет 75%.     </w:t>
      </w:r>
    </w:p>
    <w:p w:rsidR="00104ECF" w:rsidRPr="00362604" w:rsidRDefault="00104ECF" w:rsidP="00104ECF">
      <w:pPr>
        <w:jc w:val="both"/>
      </w:pPr>
      <w:r>
        <w:t xml:space="preserve">        </w:t>
      </w:r>
      <w:r w:rsidRPr="00362604">
        <w:t>98,9 % учителей и руководителей прошли повышение квалификации по ФГОС.</w:t>
      </w:r>
    </w:p>
    <w:p w:rsidR="00104ECF" w:rsidRPr="00362604" w:rsidRDefault="00104ECF" w:rsidP="00104ECF">
      <w:pPr>
        <w:jc w:val="both"/>
        <w:rPr>
          <w:b/>
          <w:u w:val="single"/>
        </w:rPr>
      </w:pPr>
      <w:r w:rsidRPr="00362604">
        <w:t xml:space="preserve">     </w:t>
      </w:r>
      <w:r>
        <w:t xml:space="preserve">    </w:t>
      </w:r>
      <w:r w:rsidRPr="00362604">
        <w:t>Обеспеченность учащихся учебниками за счет школьных библиотек составила 100%. В 2015 году на приобретение учебников выделены средства в сумме 407 тыс. рублей по краевой субвенции на учебные расходы.</w:t>
      </w:r>
    </w:p>
    <w:p w:rsidR="00104ECF" w:rsidRPr="00362604" w:rsidRDefault="00104ECF" w:rsidP="00104ECF">
      <w:pPr>
        <w:jc w:val="both"/>
      </w:pPr>
      <w:r w:rsidRPr="00362604">
        <w:t xml:space="preserve"> </w:t>
      </w:r>
      <w:r>
        <w:t xml:space="preserve">      </w:t>
      </w:r>
      <w:r w:rsidRPr="00362604">
        <w:t xml:space="preserve"> Для того чтобы создать равные условия для всех учащихся, организовать оптимальное использование современного оборудования и образовательных ресурсов был организован подвоз 213 детей к 11 образовательным организациям по 18 школьным маршрутам.</w:t>
      </w:r>
    </w:p>
    <w:p w:rsidR="00104ECF" w:rsidRPr="00362604" w:rsidRDefault="00104ECF" w:rsidP="00104ECF">
      <w:pPr>
        <w:jc w:val="both"/>
      </w:pPr>
      <w:r>
        <w:lastRenderedPageBreak/>
        <w:t xml:space="preserve">        </w:t>
      </w:r>
      <w:r w:rsidRPr="00362604">
        <w:t xml:space="preserve">Эффективным механизмом развития условий повышения качества образования, в том числе преодоления разрыва в качестве образовательных результатов между школами, работающими в разных социокультурных условиях, является совершенствование сетевого взаимодействия. С целью его активизации, </w:t>
      </w:r>
      <w:proofErr w:type="gramStart"/>
      <w:r w:rsidRPr="00362604">
        <w:t>организации  эффективного</w:t>
      </w:r>
      <w:proofErr w:type="gramEnd"/>
      <w:r w:rsidRPr="00362604">
        <w:t xml:space="preserve"> использования имеющихся ресурсов в районе сформирована инновационная инфраструктура, которая включает  5 базовых школ, объединяющих школьные округа, пять школ </w:t>
      </w:r>
      <w:proofErr w:type="spellStart"/>
      <w:r w:rsidRPr="00362604">
        <w:t>Заринского</w:t>
      </w:r>
      <w:proofErr w:type="spellEnd"/>
      <w:r w:rsidRPr="00362604">
        <w:t xml:space="preserve"> района, на базе которых работают </w:t>
      </w:r>
      <w:proofErr w:type="spellStart"/>
      <w:r w:rsidRPr="00362604">
        <w:t>стажировочные</w:t>
      </w:r>
      <w:proofErr w:type="spellEnd"/>
      <w:r w:rsidRPr="00362604">
        <w:t xml:space="preserve"> площадки. Четыре школы района получили оборудование для реализации дистанционного обучения и ДОТ.  Общее количество школ, включенных за 2 года в проект по реализации ДОТ, в районе  </w:t>
      </w:r>
    </w:p>
    <w:p w:rsidR="00104ECF" w:rsidRPr="00362604" w:rsidRDefault="00104ECF" w:rsidP="00104ECF">
      <w:pPr>
        <w:jc w:val="both"/>
      </w:pPr>
      <w:r w:rsidRPr="00362604">
        <w:t xml:space="preserve">составило 16,7%. </w:t>
      </w:r>
    </w:p>
    <w:p w:rsidR="00104ECF" w:rsidRPr="00362604" w:rsidRDefault="00104ECF" w:rsidP="00104ECF">
      <w:pPr>
        <w:jc w:val="both"/>
      </w:pPr>
      <w:r>
        <w:t xml:space="preserve">      </w:t>
      </w:r>
      <w:r w:rsidRPr="00362604">
        <w:t>Именно активное участие в инновационной деятельности позволило району увеличить инновационный фонд в 201</w:t>
      </w:r>
      <w:r>
        <w:t>6</w:t>
      </w:r>
      <w:bookmarkStart w:id="0" w:name="_GoBack"/>
      <w:bookmarkEnd w:id="0"/>
      <w:r w:rsidRPr="00362604">
        <w:t xml:space="preserve"> году существенно повысить инновационный фонд.</w:t>
      </w:r>
    </w:p>
    <w:p w:rsidR="00104ECF" w:rsidRPr="00362604" w:rsidRDefault="00104ECF" w:rsidP="00104ECF">
      <w:pPr>
        <w:jc w:val="both"/>
      </w:pPr>
    </w:p>
    <w:p w:rsidR="00104ECF" w:rsidRPr="00362604" w:rsidRDefault="00104ECF" w:rsidP="00104ECF">
      <w:pPr>
        <w:jc w:val="both"/>
      </w:pPr>
      <w:r w:rsidRPr="00362604">
        <w:t xml:space="preserve">Анализ показателей учебного года показывает, что успеваемость составила 99,7 %. Качество результатов обучения 49,6 %. В текущем году 17 отличников из многодетных семей получат Губернаторскую премию от 1 до 10 тысяч рублей в зависимости от уровня образования. </w:t>
      </w:r>
    </w:p>
    <w:p w:rsidR="00104ECF" w:rsidRPr="00362604" w:rsidRDefault="00104ECF" w:rsidP="00104ECF">
      <w:pPr>
        <w:jc w:val="both"/>
        <w:rPr>
          <w:bCs/>
        </w:rPr>
      </w:pPr>
      <w:r>
        <w:rPr>
          <w:bCs/>
        </w:rPr>
        <w:t xml:space="preserve">     </w:t>
      </w:r>
      <w:r w:rsidRPr="00362604">
        <w:rPr>
          <w:bCs/>
        </w:rPr>
        <w:t xml:space="preserve">Со 100%-й успеваемостью закончили учебный год большинство школ, </w:t>
      </w:r>
      <w:proofErr w:type="gramStart"/>
      <w:r w:rsidRPr="00362604">
        <w:rPr>
          <w:bCs/>
        </w:rPr>
        <w:t xml:space="preserve">кроме </w:t>
      </w:r>
      <w:r>
        <w:rPr>
          <w:bCs/>
        </w:rPr>
        <w:t xml:space="preserve"> </w:t>
      </w:r>
      <w:r w:rsidRPr="00362604">
        <w:rPr>
          <w:bCs/>
        </w:rPr>
        <w:t>МКОУ</w:t>
      </w:r>
      <w:proofErr w:type="gramEnd"/>
      <w:r w:rsidRPr="00362604">
        <w:rPr>
          <w:bCs/>
        </w:rPr>
        <w:t xml:space="preserve"> "</w:t>
      </w:r>
      <w:proofErr w:type="spellStart"/>
      <w:r w:rsidRPr="00362604">
        <w:rPr>
          <w:bCs/>
        </w:rPr>
        <w:t>Аламбайская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МКОУ "</w:t>
      </w:r>
      <w:proofErr w:type="spellStart"/>
      <w:r w:rsidRPr="00362604">
        <w:rPr>
          <w:bCs/>
        </w:rPr>
        <w:t>Жуланихинская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</w:t>
      </w:r>
      <w:r>
        <w:rPr>
          <w:bCs/>
        </w:rPr>
        <w:t xml:space="preserve"> </w:t>
      </w:r>
      <w:r w:rsidRPr="00362604">
        <w:rPr>
          <w:bCs/>
        </w:rPr>
        <w:t>МКОУ "</w:t>
      </w:r>
      <w:proofErr w:type="spellStart"/>
      <w:r w:rsidRPr="00362604">
        <w:rPr>
          <w:bCs/>
        </w:rPr>
        <w:t>Новомоношкинская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 МКОУ "</w:t>
      </w:r>
      <w:proofErr w:type="spellStart"/>
      <w:r w:rsidRPr="00362604">
        <w:rPr>
          <w:bCs/>
        </w:rPr>
        <w:t>Новозыряновская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". </w:t>
      </w:r>
    </w:p>
    <w:p w:rsidR="00104ECF" w:rsidRPr="00362604" w:rsidRDefault="00104ECF" w:rsidP="00104ECF">
      <w:pPr>
        <w:jc w:val="both"/>
        <w:rPr>
          <w:bCs/>
        </w:rPr>
      </w:pPr>
      <w:r>
        <w:rPr>
          <w:bCs/>
        </w:rPr>
        <w:t xml:space="preserve">      </w:t>
      </w:r>
      <w:r w:rsidRPr="00362604">
        <w:rPr>
          <w:bCs/>
        </w:rPr>
        <w:t>Самого высокого качества результатов обучения (около 60%) добились в МКОУ "Верх-</w:t>
      </w:r>
      <w:proofErr w:type="spellStart"/>
      <w:r w:rsidRPr="00362604">
        <w:rPr>
          <w:bCs/>
        </w:rPr>
        <w:t>Камышенская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МКОУ </w:t>
      </w:r>
      <w:proofErr w:type="spellStart"/>
      <w:r w:rsidRPr="00362604">
        <w:rPr>
          <w:bCs/>
        </w:rPr>
        <w:t>Жуланихинская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proofErr w:type="gramStart"/>
      <w:r w:rsidRPr="00362604">
        <w:rPr>
          <w:bCs/>
        </w:rPr>
        <w:t>",  МКОУ</w:t>
      </w:r>
      <w:proofErr w:type="gramEnd"/>
      <w:r w:rsidRPr="00362604">
        <w:rPr>
          <w:bCs/>
        </w:rPr>
        <w:t xml:space="preserve"> "</w:t>
      </w:r>
      <w:proofErr w:type="spellStart"/>
      <w:r w:rsidRPr="00362604">
        <w:rPr>
          <w:bCs/>
        </w:rPr>
        <w:t>Стародраченинская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". </w:t>
      </w:r>
    </w:p>
    <w:p w:rsidR="00104ECF" w:rsidRPr="00362604" w:rsidRDefault="00104ECF" w:rsidP="00104ECF">
      <w:pPr>
        <w:jc w:val="both"/>
        <w:rPr>
          <w:bCs/>
        </w:rPr>
      </w:pPr>
      <w:r>
        <w:rPr>
          <w:bCs/>
        </w:rPr>
        <w:t xml:space="preserve">       </w:t>
      </w:r>
      <w:r w:rsidRPr="00362604">
        <w:rPr>
          <w:bCs/>
        </w:rPr>
        <w:t xml:space="preserve">Положительная </w:t>
      </w:r>
      <w:proofErr w:type="gramStart"/>
      <w:r w:rsidRPr="00362604">
        <w:rPr>
          <w:bCs/>
        </w:rPr>
        <w:t>динамика  качества</w:t>
      </w:r>
      <w:proofErr w:type="gramEnd"/>
      <w:r w:rsidRPr="00362604">
        <w:rPr>
          <w:bCs/>
        </w:rPr>
        <w:t xml:space="preserve"> знаний  по сравнению с прошлым годом  наблюдается в МКОУ "</w:t>
      </w:r>
      <w:proofErr w:type="spellStart"/>
      <w:r w:rsidRPr="00362604">
        <w:rPr>
          <w:bCs/>
        </w:rPr>
        <w:t>Аламбайская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МКОУ "Воскресенская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МКОУ "</w:t>
      </w:r>
      <w:proofErr w:type="spellStart"/>
      <w:r w:rsidRPr="00362604">
        <w:rPr>
          <w:bCs/>
        </w:rPr>
        <w:t>Гоношихинская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 МКОУ "</w:t>
      </w:r>
      <w:proofErr w:type="spellStart"/>
      <w:r w:rsidRPr="00362604">
        <w:rPr>
          <w:bCs/>
        </w:rPr>
        <w:t>Зыряновская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МКОУ "</w:t>
      </w:r>
      <w:proofErr w:type="spellStart"/>
      <w:r w:rsidRPr="00362604">
        <w:rPr>
          <w:bCs/>
        </w:rPr>
        <w:t>Новокопыловская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МКОУ "</w:t>
      </w:r>
      <w:proofErr w:type="spellStart"/>
      <w:r w:rsidRPr="00362604">
        <w:rPr>
          <w:bCs/>
        </w:rPr>
        <w:t>Тягунская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МКОУ "Хмелевская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>", МКОУ "</w:t>
      </w:r>
      <w:proofErr w:type="spellStart"/>
      <w:r w:rsidRPr="00362604">
        <w:rPr>
          <w:bCs/>
        </w:rPr>
        <w:t>Озернинская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оош</w:t>
      </w:r>
      <w:proofErr w:type="spellEnd"/>
      <w:r w:rsidRPr="00362604">
        <w:rPr>
          <w:bCs/>
        </w:rPr>
        <w:t>" и некоторых других школах.</w:t>
      </w:r>
    </w:p>
    <w:p w:rsidR="00104ECF" w:rsidRPr="00362604" w:rsidRDefault="00104ECF" w:rsidP="00104ECF">
      <w:pPr>
        <w:jc w:val="both"/>
        <w:rPr>
          <w:bCs/>
        </w:rPr>
      </w:pPr>
      <w:r>
        <w:rPr>
          <w:bCs/>
        </w:rPr>
        <w:t xml:space="preserve">     </w:t>
      </w:r>
      <w:r w:rsidRPr="00362604">
        <w:rPr>
          <w:bCs/>
        </w:rPr>
        <w:t>Отрицательная динамика качества обучения по сравнению с прошлым годом отмечена в МКОУ "</w:t>
      </w:r>
      <w:proofErr w:type="spellStart"/>
      <w:r w:rsidRPr="00362604">
        <w:rPr>
          <w:bCs/>
        </w:rPr>
        <w:t>Комарская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МКОУ "Сосновская </w:t>
      </w:r>
      <w:proofErr w:type="spellStart"/>
      <w:r w:rsidRPr="00362604">
        <w:rPr>
          <w:bCs/>
        </w:rPr>
        <w:t>сош</w:t>
      </w:r>
      <w:proofErr w:type="spellEnd"/>
      <w:r w:rsidRPr="00362604">
        <w:rPr>
          <w:bCs/>
        </w:rPr>
        <w:t xml:space="preserve">", </w:t>
      </w:r>
    </w:p>
    <w:p w:rsidR="00104ECF" w:rsidRPr="00362604" w:rsidRDefault="00104ECF" w:rsidP="00104ECF">
      <w:pPr>
        <w:jc w:val="both"/>
        <w:rPr>
          <w:bCs/>
        </w:rPr>
      </w:pPr>
      <w:r w:rsidRPr="00362604">
        <w:rPr>
          <w:bCs/>
        </w:rPr>
        <w:t>МКОУ "</w:t>
      </w:r>
      <w:proofErr w:type="spellStart"/>
      <w:r w:rsidRPr="00362604">
        <w:rPr>
          <w:bCs/>
        </w:rPr>
        <w:t>Среднекрасиловская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оош</w:t>
      </w:r>
      <w:proofErr w:type="spellEnd"/>
      <w:r w:rsidRPr="00362604">
        <w:rPr>
          <w:bCs/>
        </w:rPr>
        <w:t xml:space="preserve">", МКОУ "Яновская </w:t>
      </w:r>
      <w:proofErr w:type="spellStart"/>
      <w:r w:rsidRPr="00362604">
        <w:rPr>
          <w:bCs/>
        </w:rPr>
        <w:t>оош</w:t>
      </w:r>
      <w:proofErr w:type="spellEnd"/>
      <w:r w:rsidRPr="00362604">
        <w:rPr>
          <w:bCs/>
        </w:rPr>
        <w:t xml:space="preserve">". </w:t>
      </w:r>
    </w:p>
    <w:p w:rsidR="00104ECF" w:rsidRDefault="00104ECF" w:rsidP="00104ECF">
      <w:pPr>
        <w:jc w:val="both"/>
        <w:rPr>
          <w:bCs/>
        </w:rPr>
      </w:pPr>
      <w:r>
        <w:rPr>
          <w:bCs/>
        </w:rPr>
        <w:t xml:space="preserve">     </w:t>
      </w:r>
      <w:r w:rsidRPr="00362604">
        <w:rPr>
          <w:bCs/>
        </w:rPr>
        <w:t>Самый низкий показатель качества знаний – в МКОУ "</w:t>
      </w:r>
      <w:proofErr w:type="spellStart"/>
      <w:r w:rsidRPr="00362604">
        <w:rPr>
          <w:bCs/>
        </w:rPr>
        <w:t>Среднекрасиловская</w:t>
      </w:r>
      <w:proofErr w:type="spellEnd"/>
      <w:r w:rsidRPr="00362604">
        <w:rPr>
          <w:bCs/>
        </w:rPr>
        <w:t xml:space="preserve"> </w:t>
      </w:r>
      <w:proofErr w:type="spellStart"/>
      <w:r w:rsidRPr="00362604">
        <w:rPr>
          <w:bCs/>
        </w:rPr>
        <w:t>оош</w:t>
      </w:r>
      <w:proofErr w:type="spellEnd"/>
      <w:r w:rsidRPr="00362604">
        <w:rPr>
          <w:bCs/>
        </w:rPr>
        <w:t>" (34,2%).</w:t>
      </w:r>
    </w:p>
    <w:p w:rsidR="00104ECF" w:rsidRPr="00362604" w:rsidRDefault="00104ECF" w:rsidP="00104ECF">
      <w:pPr>
        <w:jc w:val="both"/>
        <w:rPr>
          <w:bCs/>
        </w:rPr>
      </w:pPr>
      <w:r w:rsidRPr="00362604">
        <w:rPr>
          <w:bCs/>
        </w:rPr>
        <w:t xml:space="preserve"> </w:t>
      </w:r>
    </w:p>
    <w:p w:rsidR="00104ECF" w:rsidRPr="00362604" w:rsidRDefault="00104ECF" w:rsidP="00104ECF">
      <w:pPr>
        <w:jc w:val="both"/>
      </w:pPr>
      <w:r w:rsidRPr="00362604">
        <w:t xml:space="preserve">     </w:t>
      </w:r>
      <w:r>
        <w:t xml:space="preserve">     </w:t>
      </w:r>
      <w:r w:rsidRPr="00362604">
        <w:t>Учебный год завершается государственной итогов</w:t>
      </w:r>
      <w:r>
        <w:t xml:space="preserve">ой аттестацией в 9, 11 классах. </w:t>
      </w:r>
      <w:r w:rsidRPr="00362604">
        <w:t xml:space="preserve">Обязательными предметами    основного государственного экзамена в 9 </w:t>
      </w:r>
      <w:proofErr w:type="gramStart"/>
      <w:r w:rsidRPr="00362604">
        <w:t>классе  являются</w:t>
      </w:r>
      <w:proofErr w:type="gramEnd"/>
      <w:r w:rsidRPr="00362604">
        <w:t xml:space="preserve">   русский язык и математика. </w:t>
      </w:r>
    </w:p>
    <w:tbl>
      <w:tblPr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418"/>
        <w:gridCol w:w="1734"/>
        <w:gridCol w:w="1576"/>
        <w:gridCol w:w="1733"/>
        <w:gridCol w:w="1454"/>
        <w:gridCol w:w="1454"/>
      </w:tblGrid>
      <w:tr w:rsidR="00104ECF" w:rsidRPr="00362604" w:rsidTr="006654FA">
        <w:trPr>
          <w:trHeight w:val="488"/>
        </w:trPr>
        <w:tc>
          <w:tcPr>
            <w:tcW w:w="1187" w:type="dxa"/>
            <w:vMerge w:val="restart"/>
          </w:tcPr>
          <w:p w:rsidR="00104ECF" w:rsidRPr="00362604" w:rsidRDefault="00104ECF" w:rsidP="006654FA">
            <w:pPr>
              <w:jc w:val="both"/>
            </w:pPr>
            <w:r w:rsidRPr="00362604">
              <w:t xml:space="preserve">Учебный год </w:t>
            </w:r>
          </w:p>
          <w:p w:rsidR="00104ECF" w:rsidRPr="00362604" w:rsidRDefault="00104ECF" w:rsidP="006654FA">
            <w:pPr>
              <w:jc w:val="both"/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2012-2013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2013-2014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2014 - 2015</w:t>
            </w:r>
          </w:p>
        </w:tc>
      </w:tr>
      <w:tr w:rsidR="00104ECF" w:rsidRPr="00362604" w:rsidTr="006654FA">
        <w:trPr>
          <w:cantSplit/>
          <w:trHeight w:val="1281"/>
        </w:trPr>
        <w:tc>
          <w:tcPr>
            <w:tcW w:w="1187" w:type="dxa"/>
            <w:vMerge/>
          </w:tcPr>
          <w:p w:rsidR="00104ECF" w:rsidRPr="00362604" w:rsidRDefault="00104ECF" w:rsidP="006654F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proofErr w:type="spellStart"/>
            <w:r w:rsidRPr="00362604">
              <w:t>Заринский</w:t>
            </w:r>
            <w:proofErr w:type="spellEnd"/>
            <w:r w:rsidRPr="00362604">
              <w:t xml:space="preserve"> район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Алтайский</w:t>
            </w:r>
          </w:p>
          <w:p w:rsidR="00104ECF" w:rsidRPr="00362604" w:rsidRDefault="00104ECF" w:rsidP="006654FA">
            <w:pPr>
              <w:jc w:val="both"/>
            </w:pPr>
            <w:r w:rsidRPr="00362604">
              <w:t xml:space="preserve"> край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proofErr w:type="spellStart"/>
            <w:r w:rsidRPr="00362604">
              <w:t>Заринский</w:t>
            </w:r>
            <w:proofErr w:type="spellEnd"/>
            <w:r w:rsidRPr="00362604">
              <w:t xml:space="preserve"> район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 xml:space="preserve">Алтайский край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proofErr w:type="spellStart"/>
            <w:r w:rsidRPr="00362604">
              <w:t>Заринский</w:t>
            </w:r>
            <w:proofErr w:type="spellEnd"/>
            <w:r w:rsidRPr="00362604">
              <w:t xml:space="preserve">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 xml:space="preserve">Алтайский край </w:t>
            </w:r>
          </w:p>
        </w:tc>
      </w:tr>
      <w:tr w:rsidR="00104ECF" w:rsidRPr="00362604" w:rsidTr="006654FA">
        <w:trPr>
          <w:trHeight w:val="533"/>
        </w:trPr>
        <w:tc>
          <w:tcPr>
            <w:tcW w:w="1187" w:type="dxa"/>
          </w:tcPr>
          <w:p w:rsidR="00104ECF" w:rsidRPr="00362604" w:rsidRDefault="00104ECF" w:rsidP="006654FA">
            <w:pPr>
              <w:jc w:val="both"/>
            </w:pPr>
            <w:r w:rsidRPr="00362604">
              <w:t>Русский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58,74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62,98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57,84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62,98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</w:p>
        </w:tc>
      </w:tr>
      <w:tr w:rsidR="00104ECF" w:rsidRPr="00362604" w:rsidTr="006654FA">
        <w:trPr>
          <w:trHeight w:val="548"/>
        </w:trPr>
        <w:tc>
          <w:tcPr>
            <w:tcW w:w="1187" w:type="dxa"/>
          </w:tcPr>
          <w:p w:rsidR="00104ECF" w:rsidRPr="00362604" w:rsidRDefault="00104ECF" w:rsidP="006654FA">
            <w:pPr>
              <w:jc w:val="both"/>
            </w:pPr>
            <w:r w:rsidRPr="00362604">
              <w:t xml:space="preserve">Математика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39,91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48,14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41,45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  <w:r w:rsidRPr="00362604">
              <w:t>46,03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104ECF" w:rsidRPr="00362604" w:rsidRDefault="00104ECF" w:rsidP="006654FA">
            <w:pPr>
              <w:jc w:val="both"/>
            </w:pPr>
          </w:p>
        </w:tc>
      </w:tr>
    </w:tbl>
    <w:p w:rsidR="00104ECF" w:rsidRPr="00362604" w:rsidRDefault="00104ECF" w:rsidP="00104ECF">
      <w:pPr>
        <w:jc w:val="both"/>
        <w:rPr>
          <w:b/>
          <w:u w:val="single"/>
        </w:rPr>
      </w:pPr>
    </w:p>
    <w:p w:rsidR="00104ECF" w:rsidRPr="00362604" w:rsidRDefault="00104ECF" w:rsidP="00104ECF">
      <w:pPr>
        <w:jc w:val="both"/>
        <w:rPr>
          <w:rFonts w:eastAsia="+mn-ea"/>
          <w:kern w:val="24"/>
        </w:rPr>
      </w:pPr>
      <w:r>
        <w:t xml:space="preserve">    </w:t>
      </w:r>
      <w:r w:rsidRPr="00362604">
        <w:t xml:space="preserve">Средний балл ЕГЭ по </w:t>
      </w:r>
      <w:proofErr w:type="gramStart"/>
      <w:r w:rsidRPr="00362604">
        <w:t>району  выше</w:t>
      </w:r>
      <w:proofErr w:type="gramEnd"/>
      <w:r w:rsidRPr="00362604">
        <w:t xml:space="preserve"> относительно результатов прошлого года по русскому языку, физике, химии, обществознанию и географии.</w:t>
      </w:r>
      <w:r w:rsidRPr="00362604">
        <w:rPr>
          <w:rFonts w:eastAsia="+mn-ea"/>
          <w:kern w:val="24"/>
        </w:rPr>
        <w:t xml:space="preserve"> Существенная отрицательная динамика среднего балла наблюдается по информатике и ИКТ, </w:t>
      </w:r>
      <w:proofErr w:type="gramStart"/>
      <w:r w:rsidRPr="00362604">
        <w:rPr>
          <w:rFonts w:eastAsia="+mn-ea"/>
          <w:kern w:val="24"/>
        </w:rPr>
        <w:t>математике ,</w:t>
      </w:r>
      <w:proofErr w:type="gramEnd"/>
      <w:r w:rsidRPr="00362604">
        <w:rPr>
          <w:rFonts w:eastAsia="+mn-ea"/>
          <w:kern w:val="24"/>
        </w:rPr>
        <w:t xml:space="preserve"> биологии</w:t>
      </w:r>
    </w:p>
    <w:p w:rsidR="00104ECF" w:rsidRPr="00362604" w:rsidRDefault="00104ECF" w:rsidP="00104ECF">
      <w:pPr>
        <w:jc w:val="both"/>
      </w:pPr>
      <w:r w:rsidRPr="00362604">
        <w:lastRenderedPageBreak/>
        <w:t xml:space="preserve">     Впервые в районе выпускница </w:t>
      </w:r>
      <w:proofErr w:type="spellStart"/>
      <w:r w:rsidRPr="00362604">
        <w:t>Стародраченинской</w:t>
      </w:r>
      <w:proofErr w:type="spellEnd"/>
      <w:r w:rsidRPr="00362604">
        <w:t xml:space="preserve"> средней школы Сухотина Марина набрала по итогам ЕГЭ по русскому языку 95 баллов из 100. Впервые за последние 5 лет у нас медали за особые заслуги в учении получили 12 выпускников.</w:t>
      </w:r>
    </w:p>
    <w:p w:rsidR="00104ECF" w:rsidRPr="00362604" w:rsidRDefault="00104ECF" w:rsidP="00104ECF">
      <w:pPr>
        <w:jc w:val="both"/>
      </w:pPr>
      <w:r w:rsidRPr="00362604">
        <w:t xml:space="preserve">     Во всех школах района осуществляется переход на федеральные государственные образовательные стандарты. В 2015 году 4 класс окончили ученики, обучавшиеся уже по ФГОС начального общего образования. С целью мониторинга и демонстрации сформированных универсальных учебных действий у младших школьников на муниципальном уровне в 2015 году проводилось несколько мероприятий, таких как «Вместе к успеху», «Юный исследователь», окружная олимпиада по робототехнике.</w:t>
      </w:r>
    </w:p>
    <w:p w:rsidR="00104ECF" w:rsidRPr="00362604" w:rsidRDefault="00104ECF" w:rsidP="00104ECF">
      <w:pPr>
        <w:jc w:val="both"/>
      </w:pPr>
      <w:r>
        <w:t xml:space="preserve">       </w:t>
      </w:r>
      <w:r w:rsidRPr="00362604">
        <w:t>Ежегодно наши учащиеся получают заслуженные награды на краевых и всероссийских конкурсах.</w:t>
      </w:r>
    </w:p>
    <w:p w:rsidR="00104ECF" w:rsidRPr="00362604" w:rsidRDefault="00104ECF" w:rsidP="00104ECF">
      <w:pPr>
        <w:jc w:val="both"/>
        <w:rPr>
          <w:b/>
        </w:rPr>
      </w:pPr>
      <w:r w:rsidRPr="00362604">
        <w:t xml:space="preserve">           В 2014 – 2015 учебном году в районе прошло 13 предметных олимпиад   муниципального этапа всероссийской олимпиады по общеобразовательным предметам. В них приняли участие 168 </w:t>
      </w:r>
      <w:proofErr w:type="gramStart"/>
      <w:r w:rsidRPr="00362604">
        <w:t>учеников  8</w:t>
      </w:r>
      <w:proofErr w:type="gramEnd"/>
      <w:r w:rsidRPr="00362604">
        <w:t xml:space="preserve"> – 11 классов из основных и средних школ района. Предметы, по которым определились победители и призеры (набрали более 50% баллов): право, русский язык, история, немецкий язык, география, математика. </w:t>
      </w:r>
    </w:p>
    <w:p w:rsidR="00104ECF" w:rsidRPr="00362604" w:rsidRDefault="00104ECF" w:rsidP="00104ECF">
      <w:pPr>
        <w:jc w:val="both"/>
      </w:pPr>
      <w:r w:rsidRPr="00362604">
        <w:t xml:space="preserve">       </w:t>
      </w:r>
      <w:proofErr w:type="gramStart"/>
      <w:r w:rsidRPr="00362604">
        <w:t>В  районных</w:t>
      </w:r>
      <w:proofErr w:type="gramEnd"/>
      <w:r w:rsidRPr="00362604">
        <w:t xml:space="preserve"> предметных олимпиадах для выпускников начальной школы по математике и русскому языку приняли участие  76 учеников из 20 школ района.  Две ученицы МКОУ "</w:t>
      </w:r>
      <w:proofErr w:type="spellStart"/>
      <w:r w:rsidRPr="00362604">
        <w:t>Тягунская</w:t>
      </w:r>
      <w:proofErr w:type="spellEnd"/>
      <w:r w:rsidRPr="00362604">
        <w:t xml:space="preserve"> </w:t>
      </w:r>
      <w:proofErr w:type="spellStart"/>
      <w:r w:rsidRPr="00362604">
        <w:t>сош</w:t>
      </w:r>
      <w:proofErr w:type="spellEnd"/>
      <w:r w:rsidRPr="00362604">
        <w:t xml:space="preserve">" приняли участие в краевом этапе Олимпиады по праву.    </w:t>
      </w:r>
    </w:p>
    <w:p w:rsidR="00104ECF" w:rsidRPr="00362604" w:rsidRDefault="00104ECF" w:rsidP="00104ECF">
      <w:pPr>
        <w:jc w:val="both"/>
      </w:pPr>
      <w:r w:rsidRPr="00362604">
        <w:t xml:space="preserve">  Рост интереса к исследовательской и проектной деятельности среди учеников и педагогов показывает активное участие школьников основного и среднего уровня </w:t>
      </w:r>
      <w:proofErr w:type="gramStart"/>
      <w:r w:rsidRPr="00362604">
        <w:t>образования  в</w:t>
      </w:r>
      <w:proofErr w:type="gramEnd"/>
      <w:r w:rsidRPr="00362604">
        <w:t xml:space="preserve"> научно – практических конференциях, конкурсах исследовательских, творческих работ от школьного до международного уровней. </w:t>
      </w:r>
    </w:p>
    <w:p w:rsidR="00104ECF" w:rsidRPr="00362604" w:rsidRDefault="00104ECF" w:rsidP="00104ECF">
      <w:pPr>
        <w:jc w:val="both"/>
      </w:pPr>
      <w:r w:rsidRPr="00362604">
        <w:t xml:space="preserve">     В открытой краевой </w:t>
      </w:r>
      <w:proofErr w:type="gramStart"/>
      <w:r w:rsidRPr="00362604">
        <w:t>итоговой  конференции</w:t>
      </w:r>
      <w:proofErr w:type="gramEnd"/>
      <w:r w:rsidRPr="00362604">
        <w:t xml:space="preserve">  для одаренных школьников и молодежи  "Будущее Алтая - 2015", которая прошла на базе Алтайского технического университета,  приняли участие 23 ученика из 11 школ района. Работы ребят отмечены дипломами, грамотами, благодарственными письмами, сертификатами.</w:t>
      </w:r>
    </w:p>
    <w:p w:rsidR="00104ECF" w:rsidRPr="00362604" w:rsidRDefault="00104ECF" w:rsidP="00104ECF">
      <w:pPr>
        <w:jc w:val="both"/>
      </w:pPr>
      <w:r w:rsidRPr="00362604">
        <w:t xml:space="preserve">     Дипломами первой степени всероссийского открытого конкурса научно - исследовательских проектных и творческих работ учащихся "Первые шаги" (г. Москва) стали две ученицы из МКОУ "</w:t>
      </w:r>
      <w:proofErr w:type="spellStart"/>
      <w:r w:rsidRPr="00362604">
        <w:t>Голухинская</w:t>
      </w:r>
      <w:proofErr w:type="spellEnd"/>
      <w:r w:rsidRPr="00362604">
        <w:t xml:space="preserve"> </w:t>
      </w:r>
      <w:proofErr w:type="spellStart"/>
      <w:r w:rsidRPr="00362604">
        <w:t>сош</w:t>
      </w:r>
      <w:proofErr w:type="spellEnd"/>
      <w:r w:rsidRPr="00362604">
        <w:t>" и МКОУ "</w:t>
      </w:r>
      <w:proofErr w:type="spellStart"/>
      <w:r w:rsidRPr="00362604">
        <w:t>Жуланихинская</w:t>
      </w:r>
      <w:proofErr w:type="spellEnd"/>
      <w:r w:rsidRPr="00362604">
        <w:t xml:space="preserve"> </w:t>
      </w:r>
      <w:proofErr w:type="spellStart"/>
      <w:r w:rsidRPr="00362604">
        <w:t>сош</w:t>
      </w:r>
      <w:proofErr w:type="spellEnd"/>
      <w:r w:rsidRPr="00362604">
        <w:t>". Никонова Алена приняла участие в работе международной конференции «Старт в науку», проходившей в Подмосковье и получила за свое исследование диплом третьей степени.</w:t>
      </w:r>
    </w:p>
    <w:p w:rsidR="00104ECF" w:rsidRPr="00362604" w:rsidRDefault="00104ECF" w:rsidP="00104ECF">
      <w:pPr>
        <w:ind w:firstLine="708"/>
        <w:jc w:val="both"/>
      </w:pPr>
      <w:r w:rsidRPr="00362604">
        <w:t>На базе МКОУ «</w:t>
      </w:r>
      <w:proofErr w:type="spellStart"/>
      <w:r w:rsidRPr="00362604">
        <w:t>Смазневская</w:t>
      </w:r>
      <w:proofErr w:type="spellEnd"/>
      <w:r w:rsidRPr="00362604">
        <w:t xml:space="preserve"> </w:t>
      </w:r>
      <w:proofErr w:type="spellStart"/>
      <w:r w:rsidRPr="00362604">
        <w:t>сош</w:t>
      </w:r>
      <w:proofErr w:type="spellEnd"/>
      <w:r w:rsidRPr="00362604">
        <w:t xml:space="preserve">» </w:t>
      </w:r>
      <w:proofErr w:type="gramStart"/>
      <w:r w:rsidRPr="00362604">
        <w:t>прошла  III</w:t>
      </w:r>
      <w:proofErr w:type="gramEnd"/>
      <w:r w:rsidRPr="00362604">
        <w:t xml:space="preserve"> районная ученическая научно – практическая конференция «Интеллектуал – 2015», в которой приняли участие 78 учеников из 19 школ. Ребята работали над интересными темами из разных образовательных областей. </w:t>
      </w:r>
    </w:p>
    <w:p w:rsidR="00104ECF" w:rsidRPr="00362604" w:rsidRDefault="00104ECF" w:rsidP="00104ECF">
      <w:pPr>
        <w:ind w:firstLine="708"/>
        <w:jc w:val="both"/>
      </w:pPr>
      <w:r w:rsidRPr="00362604">
        <w:t xml:space="preserve">В учреждении дополнительного образования – детской юношеской спортивной школе работает 27 спортивных секций по направлениям: лыжный спорт, легкая атлетика, волейбол, баскетбол, настольный теннис. В данных объединениях занимаются 672 учащихся, что составляет 38,2% от общей численности обучающихся.  Наряду со всеми воспитанниками секции посещают дети с ограниченными возможностями здоровья, дети, состоящие на учете в ПДН. В текущем году воспитанники ДЮСШ приняли участие в Олимпиаде школьников, посвященной 70 – </w:t>
      </w:r>
      <w:proofErr w:type="spellStart"/>
      <w:r w:rsidRPr="00362604">
        <w:t>летию</w:t>
      </w:r>
      <w:proofErr w:type="spellEnd"/>
      <w:r w:rsidRPr="00362604">
        <w:t xml:space="preserve"> Победы, первенстве края по лыжным гонкам среди </w:t>
      </w:r>
      <w:proofErr w:type="gramStart"/>
      <w:r w:rsidRPr="00362604">
        <w:t>учащихся,  первенстве</w:t>
      </w:r>
      <w:proofErr w:type="gramEnd"/>
      <w:r w:rsidRPr="00362604">
        <w:t xml:space="preserve"> по волейболу, посвященному Дню Учителя, школьном этапе «Президентских состязаний», открытии лыжного сезона на ст. </w:t>
      </w:r>
      <w:proofErr w:type="spellStart"/>
      <w:r w:rsidRPr="00362604">
        <w:t>Тягун</w:t>
      </w:r>
      <w:proofErr w:type="spellEnd"/>
      <w:r w:rsidRPr="00362604">
        <w:t>,  многих других спортивных мероприятиях, ставших традиционными.</w:t>
      </w:r>
    </w:p>
    <w:p w:rsidR="00104ECF" w:rsidRPr="00362604" w:rsidRDefault="00104ECF" w:rsidP="00104ECF">
      <w:pPr>
        <w:jc w:val="both"/>
      </w:pPr>
      <w:r w:rsidRPr="00362604">
        <w:t xml:space="preserve">       Большим событием для учащихся школ стала встреча с Героем Советского Союза летчиком - </w:t>
      </w:r>
      <w:proofErr w:type="gramStart"/>
      <w:r w:rsidRPr="00362604">
        <w:t>космонавтом  СССР</w:t>
      </w:r>
      <w:proofErr w:type="gramEnd"/>
      <w:r w:rsidRPr="00362604">
        <w:t xml:space="preserve"> А. </w:t>
      </w:r>
      <w:proofErr w:type="spellStart"/>
      <w:r w:rsidRPr="00362604">
        <w:t>Арцебарским</w:t>
      </w:r>
      <w:proofErr w:type="spellEnd"/>
      <w:r w:rsidRPr="00362604">
        <w:t xml:space="preserve">, прошедшей на базе </w:t>
      </w:r>
      <w:proofErr w:type="spellStart"/>
      <w:r w:rsidRPr="00362604">
        <w:t>Голухинской</w:t>
      </w:r>
      <w:proofErr w:type="spellEnd"/>
      <w:r w:rsidRPr="00362604">
        <w:t xml:space="preserve"> средней школы.</w:t>
      </w:r>
    </w:p>
    <w:p w:rsidR="00104ECF" w:rsidRPr="00362604" w:rsidRDefault="00104ECF" w:rsidP="00104ECF">
      <w:pPr>
        <w:jc w:val="both"/>
      </w:pPr>
      <w:r w:rsidRPr="00362604">
        <w:t xml:space="preserve">     Летний отдых и занятость детей в прошлом </w:t>
      </w:r>
      <w:proofErr w:type="gramStart"/>
      <w:r w:rsidRPr="00362604">
        <w:t>году  были</w:t>
      </w:r>
      <w:proofErr w:type="gramEnd"/>
      <w:r w:rsidRPr="00362604">
        <w:t xml:space="preserve"> организованы в 17 школах . В пришкольных лагерях отдохнуло 316 детей от 8 до 15 лет. Основное внимание в профильных сменах уделялось правовому воспитанию, повышению жизнестойкости, здоровому образу жизни.</w:t>
      </w:r>
    </w:p>
    <w:p w:rsidR="00104ECF" w:rsidRPr="00362604" w:rsidRDefault="00104ECF" w:rsidP="00104ECF">
      <w:pPr>
        <w:jc w:val="both"/>
      </w:pPr>
      <w:r w:rsidRPr="00362604">
        <w:lastRenderedPageBreak/>
        <w:t xml:space="preserve">       Работал 3-х </w:t>
      </w:r>
      <w:proofErr w:type="spellStart"/>
      <w:r w:rsidRPr="00362604">
        <w:t>дневный</w:t>
      </w:r>
      <w:proofErr w:type="spellEnd"/>
      <w:r w:rsidRPr="00362604">
        <w:t xml:space="preserve"> палаточный лагерь на базе "Вектор", 32 ребенка отдохнули в загородных лагерях, а 4 ученика отдохнули во </w:t>
      </w:r>
      <w:proofErr w:type="gramStart"/>
      <w:r w:rsidRPr="00362604">
        <w:t>всероссийских  лагерях</w:t>
      </w:r>
      <w:proofErr w:type="gramEnd"/>
      <w:r w:rsidRPr="00362604">
        <w:t xml:space="preserve"> "Артек", "Орленок", "Океан". </w:t>
      </w:r>
      <w:proofErr w:type="gramStart"/>
      <w:r w:rsidRPr="00362604">
        <w:t>Кроме того</w:t>
      </w:r>
      <w:proofErr w:type="gramEnd"/>
      <w:r w:rsidRPr="00362604">
        <w:t xml:space="preserve"> около 400 детей совершили однодневные походы по красивейшим местам нашего района. Всего охвачено </w:t>
      </w:r>
      <w:proofErr w:type="spellStart"/>
      <w:r w:rsidRPr="00362604">
        <w:t>всми</w:t>
      </w:r>
      <w:proofErr w:type="spellEnd"/>
      <w:r w:rsidRPr="00362604">
        <w:t xml:space="preserve"> видами отдыха было 64, 5 % учащихся.</w:t>
      </w:r>
    </w:p>
    <w:p w:rsidR="00104ECF" w:rsidRPr="00362604" w:rsidRDefault="00104ECF" w:rsidP="00104ECF">
      <w:pPr>
        <w:jc w:val="both"/>
      </w:pPr>
      <w:r w:rsidRPr="00362604">
        <w:t xml:space="preserve">     138 подростков в течение лета были трудоустроены. Учащиеся </w:t>
      </w:r>
      <w:proofErr w:type="spellStart"/>
      <w:r w:rsidRPr="00362604">
        <w:t>Новодраченинской</w:t>
      </w:r>
      <w:proofErr w:type="spellEnd"/>
      <w:r w:rsidRPr="00362604">
        <w:t xml:space="preserve"> средней школы заняли в краевой профильной смене "Безопасное колесо".</w:t>
      </w:r>
    </w:p>
    <w:p w:rsidR="00104ECF" w:rsidRPr="00362604" w:rsidRDefault="00104ECF" w:rsidP="00104ECF">
      <w:pPr>
        <w:ind w:firstLine="708"/>
        <w:jc w:val="both"/>
      </w:pPr>
      <w:r w:rsidRPr="00362604">
        <w:t>Улучшение качества питания</w:t>
      </w:r>
      <w:r w:rsidRPr="00362604">
        <w:rPr>
          <w:b/>
        </w:rPr>
        <w:t xml:space="preserve"> </w:t>
      </w:r>
      <w:r w:rsidRPr="00362604">
        <w:t xml:space="preserve">одна из приоритетных задач, которые мы ставим </w:t>
      </w:r>
      <w:proofErr w:type="gramStart"/>
      <w:r w:rsidRPr="00362604">
        <w:t>на  предстоящий</w:t>
      </w:r>
      <w:proofErr w:type="gramEnd"/>
      <w:r w:rsidRPr="00362604">
        <w:t xml:space="preserve"> учебный год. </w:t>
      </w:r>
    </w:p>
    <w:p w:rsidR="00104ECF" w:rsidRPr="00362604" w:rsidRDefault="00104ECF" w:rsidP="00104ECF">
      <w:pPr>
        <w:jc w:val="both"/>
      </w:pPr>
      <w:r w:rsidRPr="00362604">
        <w:t xml:space="preserve">    В общеобразовательных организациях охват горячим питанием составил 95,8 %. 2-х разовым питанием охвачено74,6 % учащихся.</w:t>
      </w:r>
    </w:p>
    <w:p w:rsidR="00104ECF" w:rsidRPr="00362604" w:rsidRDefault="00104ECF" w:rsidP="00104ECF">
      <w:pPr>
        <w:jc w:val="both"/>
      </w:pPr>
      <w:r w:rsidRPr="00362604">
        <w:t xml:space="preserve">     Удешевление питания учащихся школ происходит за счет компенсационных выплат из краевого и муниципального бюджетов. Образовательным организациям необходимо уделить особое внимание разнообразию меню, его калорийности и качеству. Кроме этого, удешевление школьного питания осуществляется и за счет выращенных овощей на пришкольных участках. </w:t>
      </w:r>
    </w:p>
    <w:p w:rsidR="00104ECF" w:rsidRPr="00362604" w:rsidRDefault="00104ECF" w:rsidP="00104ECF">
      <w:pPr>
        <w:ind w:firstLine="708"/>
        <w:jc w:val="both"/>
        <w:rPr>
          <w:b/>
        </w:rPr>
      </w:pPr>
      <w:r w:rsidRPr="00362604">
        <w:t xml:space="preserve">Одной из наиболее важных задач районного образования является решение кадрового вопроса. В системе образования района на </w:t>
      </w:r>
      <w:r>
        <w:t xml:space="preserve">начало 2015-2016 учебного года </w:t>
      </w:r>
      <w:r w:rsidRPr="00362604">
        <w:t xml:space="preserve">работало 253 педагога, причём с каждым годом растёт доля педагогов преподающий «не свой предмет», и таких </w:t>
      </w:r>
      <w:proofErr w:type="gramStart"/>
      <w:r w:rsidRPr="00362604">
        <w:t>предметов  набирается</w:t>
      </w:r>
      <w:proofErr w:type="gramEnd"/>
      <w:r w:rsidRPr="00362604">
        <w:t xml:space="preserve">  три, а то и четыре.</w:t>
      </w:r>
    </w:p>
    <w:p w:rsidR="00104ECF" w:rsidRPr="00362604" w:rsidRDefault="00104ECF" w:rsidP="00104ECF">
      <w:pPr>
        <w:jc w:val="both"/>
      </w:pPr>
      <w:r>
        <w:t xml:space="preserve">    </w:t>
      </w:r>
      <w:r w:rsidRPr="00362604">
        <w:t xml:space="preserve">Средний возраст учителей - 45 лет, педагогов в возрасте до 30 лет – 19,3 </w:t>
      </w:r>
      <w:proofErr w:type="gramStart"/>
      <w:r w:rsidRPr="00362604">
        <w:t>%;  12</w:t>
      </w:r>
      <w:proofErr w:type="gramEnd"/>
      <w:r w:rsidRPr="00362604">
        <w:t>,5 % учителей со стажем работы до 5 лет, учителей пенсионного возраста – 31,2 %.</w:t>
      </w:r>
      <w:r>
        <w:t xml:space="preserve"> Н</w:t>
      </w:r>
      <w:r w:rsidRPr="00362604">
        <w:t>а начало 2015- 2016 года в район прибыло 5 педагогов, молодых специалистов.</w:t>
      </w:r>
    </w:p>
    <w:p w:rsidR="00104ECF" w:rsidRPr="00362604" w:rsidRDefault="00104ECF" w:rsidP="00104ECF">
      <w:pPr>
        <w:jc w:val="both"/>
      </w:pPr>
      <w:r w:rsidRPr="00362604">
        <w:t xml:space="preserve">    И понимая  эту ситуацию, утвержден комплексный план по привлечению квалифицированных кадров и молодых специалистов в систему образования района, разработана система материального стимулирования молодых учителей, впервые поступивших на работу в образовательные учреждения;  разовые выплаты из краевого бюджета лучшим выпускникам вузов, трудоустроившимся в сельские малокомплектные школы составляет 200000 руб., действует программа «Молодая семья», действует система предоставления целевых направлений в педагогические ВУЗы края, льготная ипотека для молодых учителей. Но, к сожалению, </w:t>
      </w:r>
      <w:proofErr w:type="gramStart"/>
      <w:r w:rsidRPr="00362604">
        <w:t>все  эти</w:t>
      </w:r>
      <w:proofErr w:type="gramEnd"/>
      <w:r w:rsidRPr="00362604">
        <w:t xml:space="preserve"> меры принципиально ситуацию не  изменили, наверное  эффект  будет больше, если  мы изначально начнём сопровождать своих выпускников  во время его обучения.</w:t>
      </w:r>
    </w:p>
    <w:p w:rsidR="00104ECF" w:rsidRPr="00362604" w:rsidRDefault="00104ECF" w:rsidP="00104ECF">
      <w:pPr>
        <w:jc w:val="both"/>
      </w:pPr>
      <w:r w:rsidRPr="00362604">
        <w:t xml:space="preserve">     Закон «Об образовании в Российской Федерации» дает возможность каждому педагогу повышать свою квалификацию каждые три года. 98,9 % всех педагогических работника своевременно прошли курсы повышения квалификации как в АКИПКРО, </w:t>
      </w:r>
      <w:proofErr w:type="spellStart"/>
      <w:r w:rsidRPr="00362604">
        <w:t>АлтГПА</w:t>
      </w:r>
      <w:proofErr w:type="spellEnd"/>
      <w:r w:rsidRPr="00362604">
        <w:t xml:space="preserve">, так и на </w:t>
      </w:r>
      <w:proofErr w:type="spellStart"/>
      <w:r w:rsidRPr="00362604">
        <w:t>стажировочных</w:t>
      </w:r>
      <w:proofErr w:type="spellEnd"/>
      <w:r w:rsidRPr="00362604">
        <w:t xml:space="preserve"> площадках </w:t>
      </w:r>
      <w:proofErr w:type="spellStart"/>
      <w:r w:rsidRPr="00362604">
        <w:t>Заринского</w:t>
      </w:r>
      <w:proofErr w:type="spellEnd"/>
      <w:r w:rsidRPr="00362604">
        <w:t xml:space="preserve"> образовательного округа. Важно сохранить этот показатель в 2015 – 2016 учебном году.</w:t>
      </w:r>
    </w:p>
    <w:p w:rsidR="00104ECF" w:rsidRPr="00362604" w:rsidRDefault="00104ECF" w:rsidP="00104ECF">
      <w:pPr>
        <w:jc w:val="both"/>
      </w:pPr>
      <w:r w:rsidRPr="00362604">
        <w:t xml:space="preserve">      Во исполнение Указа Президента Российской Федерации от 07.05.2012 № 597 «О мероприятиях по реализации государственной социальной политики» на повышение заработной платы педагогическим работникам образовательных учреждений общего образования </w:t>
      </w:r>
      <w:proofErr w:type="spellStart"/>
      <w:r w:rsidRPr="00362604">
        <w:t>Заринского</w:t>
      </w:r>
      <w:proofErr w:type="spellEnd"/>
      <w:r w:rsidRPr="00362604">
        <w:t xml:space="preserve"> района в 2015 году объем средств на стимулирование инновационной деятельности вырос до 1млн 643 тыс. рублей.</w:t>
      </w:r>
    </w:p>
    <w:p w:rsidR="00104ECF" w:rsidRPr="00362604" w:rsidRDefault="00104ECF" w:rsidP="00104ECF">
      <w:pPr>
        <w:jc w:val="both"/>
      </w:pPr>
      <w:r w:rsidRPr="00362604">
        <w:t xml:space="preserve">          Усилению материальной заинтересованности педагогов способствует рост заработной платы. </w:t>
      </w:r>
    </w:p>
    <w:p w:rsidR="00104ECF" w:rsidRPr="00362604" w:rsidRDefault="00104ECF" w:rsidP="00104ECF">
      <w:pPr>
        <w:jc w:val="both"/>
      </w:pPr>
      <w:r w:rsidRPr="00362604">
        <w:t xml:space="preserve">Средняя заработная плата педагогических работников школ </w:t>
      </w:r>
      <w:r>
        <w:t xml:space="preserve">на начало 2015-2016 учебного года </w:t>
      </w:r>
      <w:r w:rsidRPr="00362604">
        <w:t>составила 17717 рублей, педагогических работников детских садов по итогам первого полугодия 2015 года составила 11969 рублей, педагогов дополнительного об</w:t>
      </w:r>
      <w:r>
        <w:t>р</w:t>
      </w:r>
      <w:r w:rsidRPr="00362604">
        <w:t>азования 18255 рублей.</w:t>
      </w:r>
    </w:p>
    <w:p w:rsidR="00104ECF" w:rsidRPr="00362604" w:rsidRDefault="00104ECF" w:rsidP="00104ECF">
      <w:pPr>
        <w:ind w:firstLine="708"/>
        <w:jc w:val="both"/>
      </w:pPr>
      <w:r w:rsidRPr="00362604">
        <w:t xml:space="preserve">Одним из важных составляющих роста заработной платы </w:t>
      </w:r>
      <w:proofErr w:type="gramStart"/>
      <w:r w:rsidRPr="00362604">
        <w:t>является  аттестация</w:t>
      </w:r>
      <w:proofErr w:type="gramEnd"/>
      <w:r w:rsidRPr="00362604">
        <w:t xml:space="preserve"> . В 2014 – 2015 году её прошли 71 педагог, 28 % педагогов. Из них высшую квалификационную категорию получили 17 человек, первую – 54. </w:t>
      </w:r>
    </w:p>
    <w:p w:rsidR="00104ECF" w:rsidRDefault="00104ECF" w:rsidP="00104ECF">
      <w:pPr>
        <w:jc w:val="both"/>
      </w:pPr>
      <w:r w:rsidRPr="00362604">
        <w:lastRenderedPageBreak/>
        <w:t xml:space="preserve">     В 2015 году были проведены реорганизационные мероприятия с целью оптимизации образовательной сети. На начало 2015-2016 года в районе функционирует 28 образовательных организаций, предоставляющих услуги в сфере образования. В течение </w:t>
      </w:r>
      <w:proofErr w:type="gramStart"/>
      <w:r w:rsidRPr="00362604">
        <w:t>года  5</w:t>
      </w:r>
      <w:proofErr w:type="gramEnd"/>
      <w:r w:rsidRPr="00362604">
        <w:t xml:space="preserve"> общеобразовательных организаций реорганизовано путем присоединения 5 детских садов. Закрыта начальная школа на станции </w:t>
      </w:r>
      <w:proofErr w:type="spellStart"/>
      <w:r w:rsidRPr="00362604">
        <w:t>Батунская</w:t>
      </w:r>
      <w:proofErr w:type="spellEnd"/>
      <w:r w:rsidRPr="00362604">
        <w:t xml:space="preserve">. Одна основная школа в с. Гришино реорганизована в начальную и стала филиалом Верх - </w:t>
      </w:r>
      <w:proofErr w:type="spellStart"/>
      <w:r w:rsidRPr="00362604">
        <w:t>Камышенской</w:t>
      </w:r>
      <w:proofErr w:type="spellEnd"/>
      <w:r w:rsidRPr="00362604">
        <w:t xml:space="preserve"> средней школы.</w:t>
      </w:r>
    </w:p>
    <w:p w:rsidR="0040632D" w:rsidRDefault="0040632D"/>
    <w:sectPr w:rsidR="004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B"/>
    <w:rsid w:val="000A527B"/>
    <w:rsid w:val="00104ECF"/>
    <w:rsid w:val="004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6A3E"/>
  <w15:chartTrackingRefBased/>
  <w15:docId w15:val="{0814376A-013D-4CE0-915F-DBF142B3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2164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2021-03-12T04:42:00Z</dcterms:created>
  <dcterms:modified xsi:type="dcterms:W3CDTF">2021-03-12T04:44:00Z</dcterms:modified>
</cp:coreProperties>
</file>